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C3A" w:rsidRDefault="005A2C3A" w:rsidP="005A2C3A">
      <w:pPr>
        <w:spacing w:before="100" w:beforeAutospacing="1" w:after="100" w:afterAutospacing="1" w:line="480" w:lineRule="auto"/>
        <w:ind w:firstLine="720"/>
        <w:rPr>
          <w:rFonts w:ascii="Times New Roman" w:hAnsi="Times New Roman" w:cs="Times New Roman"/>
          <w:b/>
          <w:sz w:val="24"/>
          <w:szCs w:val="24"/>
        </w:rPr>
      </w:pPr>
    </w:p>
    <w:p w:rsidR="005A2C3A" w:rsidRDefault="005A2C3A" w:rsidP="005A2C3A">
      <w:pPr>
        <w:spacing w:before="100" w:beforeAutospacing="1" w:after="100" w:afterAutospacing="1" w:line="480" w:lineRule="auto"/>
        <w:ind w:firstLine="720"/>
        <w:rPr>
          <w:rFonts w:ascii="Times New Roman" w:hAnsi="Times New Roman" w:cs="Times New Roman"/>
          <w:b/>
          <w:sz w:val="24"/>
          <w:szCs w:val="24"/>
        </w:rPr>
      </w:pPr>
    </w:p>
    <w:p w:rsidR="005A2C3A" w:rsidRDefault="005A2C3A" w:rsidP="005A2C3A">
      <w:pPr>
        <w:spacing w:before="100" w:beforeAutospacing="1" w:after="100" w:afterAutospacing="1" w:line="480" w:lineRule="auto"/>
        <w:ind w:firstLine="720"/>
        <w:rPr>
          <w:rFonts w:ascii="Times New Roman" w:hAnsi="Times New Roman" w:cs="Times New Roman"/>
          <w:b/>
          <w:sz w:val="24"/>
          <w:szCs w:val="24"/>
        </w:rPr>
      </w:pPr>
    </w:p>
    <w:p w:rsidR="005A2C3A" w:rsidRDefault="005A2C3A" w:rsidP="005A2C3A">
      <w:pPr>
        <w:spacing w:before="100" w:beforeAutospacing="1" w:after="100" w:afterAutospacing="1" w:line="480" w:lineRule="auto"/>
        <w:ind w:firstLine="720"/>
        <w:rPr>
          <w:rFonts w:ascii="Times New Roman" w:hAnsi="Times New Roman" w:cs="Times New Roman"/>
          <w:b/>
          <w:sz w:val="24"/>
          <w:szCs w:val="24"/>
        </w:rPr>
      </w:pPr>
    </w:p>
    <w:p w:rsidR="005A2C3A" w:rsidRDefault="005A2C3A" w:rsidP="005A2C3A">
      <w:pPr>
        <w:spacing w:before="100" w:beforeAutospacing="1" w:after="100" w:afterAutospacing="1" w:line="480" w:lineRule="auto"/>
        <w:ind w:firstLine="720"/>
        <w:rPr>
          <w:rFonts w:ascii="Times New Roman" w:hAnsi="Times New Roman" w:cs="Times New Roman"/>
          <w:b/>
          <w:sz w:val="24"/>
          <w:szCs w:val="24"/>
        </w:rPr>
      </w:pPr>
    </w:p>
    <w:p w:rsidR="005A2C3A" w:rsidRPr="005A2C3A" w:rsidRDefault="005A2C3A" w:rsidP="005A2C3A">
      <w:pPr>
        <w:spacing w:before="100" w:beforeAutospacing="1" w:after="100" w:afterAutospacing="1" w:line="480" w:lineRule="auto"/>
        <w:ind w:firstLine="720"/>
        <w:jc w:val="center"/>
        <w:rPr>
          <w:rFonts w:ascii="Times New Roman" w:hAnsi="Times New Roman" w:cs="Times New Roman"/>
          <w:b/>
          <w:sz w:val="24"/>
          <w:szCs w:val="24"/>
        </w:rPr>
      </w:pPr>
      <w:r w:rsidRPr="005A2C3A">
        <w:rPr>
          <w:rFonts w:ascii="Times New Roman" w:hAnsi="Times New Roman" w:cs="Times New Roman"/>
          <w:b/>
          <w:sz w:val="24"/>
          <w:szCs w:val="24"/>
        </w:rPr>
        <w:t>CT11 ECOM</w:t>
      </w:r>
    </w:p>
    <w:p w:rsidR="005A2C3A" w:rsidRPr="005A2C3A" w:rsidRDefault="005A2C3A" w:rsidP="005A2C3A">
      <w:pPr>
        <w:spacing w:before="100" w:beforeAutospacing="1" w:after="100" w:afterAutospacing="1" w:line="480" w:lineRule="auto"/>
        <w:ind w:firstLine="720"/>
        <w:jc w:val="center"/>
        <w:rPr>
          <w:rFonts w:ascii="Times New Roman" w:hAnsi="Times New Roman" w:cs="Times New Roman"/>
          <w:sz w:val="24"/>
          <w:szCs w:val="24"/>
        </w:rPr>
      </w:pPr>
      <w:r w:rsidRPr="005A2C3A">
        <w:rPr>
          <w:rFonts w:ascii="Times New Roman" w:hAnsi="Times New Roman" w:cs="Times New Roman"/>
          <w:sz w:val="24"/>
          <w:szCs w:val="24"/>
        </w:rPr>
        <w:t>Student’s Name:</w:t>
      </w:r>
    </w:p>
    <w:p w:rsidR="005A2C3A" w:rsidRPr="005A2C3A" w:rsidRDefault="005A2C3A" w:rsidP="005A2C3A">
      <w:pPr>
        <w:spacing w:before="100" w:beforeAutospacing="1" w:after="100" w:afterAutospacing="1" w:line="480" w:lineRule="auto"/>
        <w:ind w:firstLine="720"/>
        <w:jc w:val="center"/>
        <w:rPr>
          <w:rFonts w:ascii="Times New Roman" w:hAnsi="Times New Roman" w:cs="Times New Roman"/>
          <w:sz w:val="24"/>
          <w:szCs w:val="24"/>
        </w:rPr>
      </w:pPr>
      <w:r w:rsidRPr="005A2C3A">
        <w:rPr>
          <w:rFonts w:ascii="Times New Roman" w:hAnsi="Times New Roman" w:cs="Times New Roman"/>
          <w:sz w:val="24"/>
          <w:szCs w:val="24"/>
        </w:rPr>
        <w:t>Institutional Affiliation:</w:t>
      </w: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Default="005A2C3A" w:rsidP="005A2C3A">
      <w:pPr>
        <w:spacing w:before="100" w:beforeAutospacing="1" w:after="100" w:afterAutospacing="1" w:line="480" w:lineRule="auto"/>
        <w:ind w:firstLine="720"/>
        <w:rPr>
          <w:rFonts w:ascii="Times New Roman" w:hAnsi="Times New Roman" w:cs="Times New Roman"/>
          <w:sz w:val="24"/>
          <w:szCs w:val="24"/>
        </w:rPr>
      </w:pPr>
    </w:p>
    <w:p w:rsidR="005A2C3A" w:rsidRPr="005A2C3A" w:rsidRDefault="005A2C3A" w:rsidP="005A2C3A">
      <w:pPr>
        <w:spacing w:before="100" w:beforeAutospacing="1" w:after="100" w:afterAutospacing="1" w:line="480" w:lineRule="auto"/>
        <w:ind w:firstLine="720"/>
        <w:jc w:val="center"/>
        <w:rPr>
          <w:rFonts w:ascii="Times New Roman" w:hAnsi="Times New Roman" w:cs="Times New Roman"/>
          <w:b/>
          <w:sz w:val="24"/>
          <w:szCs w:val="24"/>
        </w:rPr>
      </w:pPr>
      <w:r w:rsidRPr="005A2C3A">
        <w:rPr>
          <w:rFonts w:ascii="Times New Roman" w:hAnsi="Times New Roman" w:cs="Times New Roman"/>
          <w:b/>
          <w:sz w:val="24"/>
          <w:szCs w:val="24"/>
        </w:rPr>
        <w:lastRenderedPageBreak/>
        <w:t>CT11 ECOM</w:t>
      </w: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r w:rsidRPr="005A2C3A">
        <w:rPr>
          <w:rFonts w:ascii="Times New Roman" w:hAnsi="Times New Roman" w:cs="Times New Roman"/>
          <w:sz w:val="24"/>
          <w:szCs w:val="24"/>
        </w:rPr>
        <w:t xml:space="preserve">For several years ever since the Clarion board approved a significant investment into the software and hardware of IT (Information Technology), there only has been little monitoring carried out on the various advantages of the system. The Clarion Boys </w:t>
      </w:r>
      <w:proofErr w:type="spellStart"/>
      <w:r w:rsidRPr="005A2C3A">
        <w:rPr>
          <w:rFonts w:ascii="Times New Roman" w:hAnsi="Times New Roman" w:cs="Times New Roman"/>
          <w:sz w:val="24"/>
          <w:szCs w:val="24"/>
        </w:rPr>
        <w:t>Inc</w:t>
      </w:r>
      <w:proofErr w:type="spellEnd"/>
      <w:r w:rsidRPr="005A2C3A">
        <w:rPr>
          <w:rFonts w:ascii="Times New Roman" w:hAnsi="Times New Roman" w:cs="Times New Roman"/>
          <w:sz w:val="24"/>
          <w:szCs w:val="24"/>
        </w:rPr>
        <w:t xml:space="preserve"> School controller known as John Young has present</w:t>
      </w:r>
      <w:bookmarkStart w:id="0" w:name="_GoBack"/>
      <w:bookmarkEnd w:id="0"/>
      <w:r w:rsidRPr="005A2C3A">
        <w:rPr>
          <w:rFonts w:ascii="Times New Roman" w:hAnsi="Times New Roman" w:cs="Times New Roman"/>
          <w:sz w:val="24"/>
          <w:szCs w:val="24"/>
        </w:rPr>
        <w:t xml:space="preserve">ed his assessment of the organization’s information systems. A problem with the predecessor was the reduction in the labor costs which represented the school’s operating budget by 68% (Brown et al., 2012). Moreover, the various solutions that included the IBM AS/400 upgrade of the computing software and other associated systems, network, as well as personal computers along with the living unit remodeling to increase the ISIS program, are yet to reduce the operating costs efficiently with other resource usages of the school. The analysis below will propose a solution of technology for that school regarding the reduction of the operation costs, minimization of the resource usage and also provide solutions for improving the various operations. </w:t>
      </w: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r w:rsidRPr="005A2C3A">
        <w:rPr>
          <w:rFonts w:ascii="Times New Roman" w:hAnsi="Times New Roman" w:cs="Times New Roman"/>
          <w:sz w:val="24"/>
          <w:szCs w:val="24"/>
        </w:rPr>
        <w:t xml:space="preserve">In the task evaluation for or the Young system, there is more focus that is put on the discussion that has been incorporated with questions that were presented to the board (Brown et al., 2012). Different kind of answers were collected from the outsourced teachers, stakeholders, secretaries, education supervisors among other coordinates that provided various suggestions on the advances of the system. The latter also had depicted the type of inefficiency that was experienced in the system that is currently being used. Those queries were useful in underpinning the actual challenges that the institution was experiencing. </w:t>
      </w: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r w:rsidRPr="005A2C3A">
        <w:rPr>
          <w:rFonts w:ascii="Times New Roman" w:hAnsi="Times New Roman" w:cs="Times New Roman"/>
          <w:sz w:val="24"/>
          <w:szCs w:val="24"/>
        </w:rPr>
        <w:t xml:space="preserve">Some of the recommendations provided for technological solutions in Clarion School included the reduction of costs that need to be adopted immediately. According to </w:t>
      </w:r>
      <w:proofErr w:type="spellStart"/>
      <w:r w:rsidRPr="005A2C3A">
        <w:rPr>
          <w:rFonts w:ascii="Times New Roman" w:hAnsi="Times New Roman" w:cs="Times New Roman"/>
          <w:sz w:val="24"/>
          <w:szCs w:val="24"/>
        </w:rPr>
        <w:t>Khodr</w:t>
      </w:r>
      <w:proofErr w:type="spellEnd"/>
      <w:r w:rsidRPr="005A2C3A">
        <w:rPr>
          <w:rFonts w:ascii="Times New Roman" w:hAnsi="Times New Roman" w:cs="Times New Roman"/>
          <w:sz w:val="24"/>
          <w:szCs w:val="24"/>
        </w:rPr>
        <w:t xml:space="preserve"> (2012),</w:t>
      </w:r>
      <w:r w:rsidR="00826D61">
        <w:rPr>
          <w:rFonts w:ascii="Times New Roman" w:hAnsi="Times New Roman" w:cs="Times New Roman"/>
          <w:sz w:val="24"/>
          <w:szCs w:val="24"/>
        </w:rPr>
        <w:t xml:space="preserve"> </w:t>
      </w:r>
      <w:r w:rsidRPr="005A2C3A">
        <w:rPr>
          <w:rFonts w:ascii="Times New Roman" w:hAnsi="Times New Roman" w:cs="Times New Roman"/>
          <w:sz w:val="24"/>
          <w:szCs w:val="24"/>
        </w:rPr>
        <w:lastRenderedPageBreak/>
        <w:t>the school has to restate its specific objectives. The goals will enable faster means of distribution for the teaching plans to help, rather than the use of emails, save time through the grading systems found online and the address storage for the frequent emails that use customized software for admission and others. It is also important to state the precise goals in the formulation of strategies that will cut on the costs as well as preserving the exact utilization of capacity (</w:t>
      </w:r>
      <w:proofErr w:type="spellStart"/>
      <w:r w:rsidRPr="005A2C3A">
        <w:rPr>
          <w:rFonts w:ascii="Times New Roman" w:hAnsi="Times New Roman" w:cs="Times New Roman"/>
          <w:sz w:val="24"/>
          <w:szCs w:val="24"/>
        </w:rPr>
        <w:t>Khodr</w:t>
      </w:r>
      <w:proofErr w:type="spellEnd"/>
      <w:r w:rsidRPr="005A2C3A">
        <w:rPr>
          <w:rFonts w:ascii="Times New Roman" w:hAnsi="Times New Roman" w:cs="Times New Roman"/>
          <w:sz w:val="24"/>
          <w:szCs w:val="24"/>
        </w:rPr>
        <w:t xml:space="preserve">, 2012). It will cost much less to ask the questions coming from the experts first in ways that are absolute to ensure that the financial resources are not being overused. Since the consulting firms of IT tend towards being neutral, it is essential that all the facts are collected while the other costs associated are estimated, and the potential decisions are offered to improve the institution’s technology systems. </w:t>
      </w: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r w:rsidRPr="005A2C3A">
        <w:rPr>
          <w:rFonts w:ascii="Times New Roman" w:hAnsi="Times New Roman" w:cs="Times New Roman"/>
          <w:sz w:val="24"/>
          <w:szCs w:val="24"/>
        </w:rPr>
        <w:t xml:space="preserve">Another solution that may be recommended would be analyzing the future and current information on the hardware, technology environment, applications, network, personnel, hardware and other network facilities (Mark &amp; Lozano, 2010). Numerous opportunities are involved in shifting from the various data centers owned by the company and also the cloud computing (Rodriguez, 2017). Expanding the future Clarion operations can lead to an increase in the expenses attributed to applications, hardware, and the network facilities. The organizations should hence probe the nature and size of the differences that exist between the capital and operating costs to understand the probable shift in the technology in terms of their management. </w:t>
      </w: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r w:rsidRPr="005A2C3A">
        <w:rPr>
          <w:rFonts w:ascii="Times New Roman" w:hAnsi="Times New Roman" w:cs="Times New Roman"/>
          <w:sz w:val="24"/>
          <w:szCs w:val="24"/>
        </w:rPr>
        <w:t xml:space="preserve">Adopting emerging or innovative trends in Information technology would be useful in reducing the costs of operation in Clarion. However, the networks can become much more complicated along with their maintenance and operation costs. That position represents a particular stereotype on the manner in which the current systems have become more capable and </w:t>
      </w:r>
      <w:r w:rsidRPr="005A2C3A">
        <w:rPr>
          <w:rFonts w:ascii="Times New Roman" w:hAnsi="Times New Roman" w:cs="Times New Roman"/>
          <w:sz w:val="24"/>
          <w:szCs w:val="24"/>
        </w:rPr>
        <w:lastRenderedPageBreak/>
        <w:t xml:space="preserve">cheaper. There may be an assumption that the operating costs for networks need to be reduced through relying on the logic that was initially formed, but that wasn’t always the case (Harvard Business Review, 2016). The move minimizes the need for the manual processing and configurations. Therefore, technology has to help in revolutionizing the operations in a significant way. </w:t>
      </w:r>
    </w:p>
    <w:p w:rsidR="005A2C3A" w:rsidRPr="005A2C3A" w:rsidRDefault="005A2C3A" w:rsidP="005A2C3A">
      <w:pPr>
        <w:spacing w:before="100" w:beforeAutospacing="1" w:after="100" w:afterAutospacing="1" w:line="480" w:lineRule="auto"/>
        <w:ind w:firstLine="720"/>
        <w:rPr>
          <w:rFonts w:ascii="Times New Roman" w:hAnsi="Times New Roman" w:cs="Times New Roman"/>
          <w:sz w:val="24"/>
          <w:szCs w:val="24"/>
        </w:rPr>
      </w:pPr>
      <w:r w:rsidRPr="005A2C3A">
        <w:rPr>
          <w:rFonts w:ascii="Times New Roman" w:hAnsi="Times New Roman" w:cs="Times New Roman"/>
          <w:sz w:val="24"/>
          <w:szCs w:val="24"/>
        </w:rPr>
        <w:t>Another plan can entail the utilization of micro-services, virtualization or containers. Virtualization can host many virtual instances of an environment of operation on a single machine while minimizing the number of servers required as well (</w:t>
      </w:r>
      <w:proofErr w:type="spellStart"/>
      <w:r w:rsidRPr="005A2C3A">
        <w:rPr>
          <w:rFonts w:ascii="Times New Roman" w:hAnsi="Times New Roman" w:cs="Times New Roman"/>
          <w:sz w:val="24"/>
          <w:szCs w:val="24"/>
        </w:rPr>
        <w:t>Hertvik</w:t>
      </w:r>
      <w:proofErr w:type="spellEnd"/>
      <w:r w:rsidRPr="005A2C3A">
        <w:rPr>
          <w:rFonts w:ascii="Times New Roman" w:hAnsi="Times New Roman" w:cs="Times New Roman"/>
          <w:sz w:val="24"/>
          <w:szCs w:val="24"/>
        </w:rPr>
        <w:t xml:space="preserve">, 2017). Containers can segregate the applications from the surrounding environment and also make them stateless. They can provide installation of the materials used for input that is needed to run that application. The architectures are important in providing the support for continuous deployment and also deployment that is outside the traditional information technology infrastructure which results in a decrease of management and maintenance costs.  They can also allow for the applications to be deployed rapidly in many adverse environments. </w:t>
      </w:r>
    </w:p>
    <w:p w:rsidR="001A798E" w:rsidRDefault="005A2C3A" w:rsidP="005A2C3A">
      <w:pPr>
        <w:spacing w:before="100" w:beforeAutospacing="1" w:after="100" w:afterAutospacing="1" w:line="480" w:lineRule="auto"/>
        <w:ind w:firstLine="720"/>
        <w:rPr>
          <w:rFonts w:ascii="Times New Roman" w:hAnsi="Times New Roman" w:cs="Times New Roman"/>
          <w:sz w:val="24"/>
          <w:szCs w:val="24"/>
        </w:rPr>
      </w:pPr>
      <w:r w:rsidRPr="005A2C3A">
        <w:rPr>
          <w:rFonts w:ascii="Times New Roman" w:hAnsi="Times New Roman" w:cs="Times New Roman"/>
          <w:sz w:val="24"/>
          <w:szCs w:val="24"/>
        </w:rPr>
        <w:t xml:space="preserve">Concisely, if the Clarion Institution could reduce its maintenance, operational and management costs, it would save the strategic and financial resources for other different projects. Since there may always be an inverse relationship that exists between the efficient information systems of the organization and also the operational costs, firms need to move from the traditional setups of information networks towards other advanced technologies. To save on the costs more efficiently, the IT team in Clarion needs to create the network requirements for the visibility of networks and also troubleshoot at the same time whenever the significant upgrades are specified. However, in case the institution does not cut down on the costs, it may experience </w:t>
      </w:r>
      <w:r w:rsidRPr="005A2C3A">
        <w:rPr>
          <w:rFonts w:ascii="Times New Roman" w:hAnsi="Times New Roman" w:cs="Times New Roman"/>
          <w:sz w:val="24"/>
          <w:szCs w:val="24"/>
        </w:rPr>
        <w:lastRenderedPageBreak/>
        <w:t>a retrogressive growth. Additionally, there wouldn’t be sufficient resources which will ensure an increased number of investments which could facilitate the firm’s perpetual succession.</w:t>
      </w: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5A2C3A" w:rsidRDefault="005A2C3A"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1A798E" w:rsidRPr="001A798E" w:rsidRDefault="001A798E" w:rsidP="001A798E">
      <w:pPr>
        <w:spacing w:before="100" w:beforeAutospacing="1" w:after="100" w:afterAutospacing="1" w:line="480" w:lineRule="auto"/>
        <w:ind w:firstLine="720"/>
        <w:jc w:val="center"/>
        <w:rPr>
          <w:rFonts w:ascii="Times New Roman" w:hAnsi="Times New Roman" w:cs="Times New Roman"/>
          <w:b/>
          <w:sz w:val="24"/>
          <w:szCs w:val="24"/>
        </w:rPr>
      </w:pPr>
      <w:r w:rsidRPr="001A798E">
        <w:rPr>
          <w:rFonts w:ascii="Times New Roman" w:hAnsi="Times New Roman" w:cs="Times New Roman"/>
          <w:b/>
          <w:sz w:val="24"/>
          <w:szCs w:val="24"/>
        </w:rPr>
        <w:lastRenderedPageBreak/>
        <w:t>References</w:t>
      </w:r>
    </w:p>
    <w:p w:rsidR="001A798E" w:rsidRPr="001A798E" w:rsidRDefault="001A798E" w:rsidP="001A798E">
      <w:pPr>
        <w:spacing w:before="100" w:beforeAutospacing="1" w:after="100" w:afterAutospacing="1" w:line="480" w:lineRule="auto"/>
        <w:ind w:left="720" w:hanging="720"/>
        <w:rPr>
          <w:rFonts w:ascii="Times New Roman" w:hAnsi="Times New Roman" w:cs="Times New Roman"/>
          <w:sz w:val="24"/>
          <w:szCs w:val="24"/>
        </w:rPr>
      </w:pPr>
      <w:r w:rsidRPr="001A798E">
        <w:rPr>
          <w:rFonts w:ascii="Times New Roman" w:hAnsi="Times New Roman" w:cs="Times New Roman"/>
          <w:sz w:val="24"/>
          <w:szCs w:val="24"/>
        </w:rPr>
        <w:t xml:space="preserve">Brown, C. V., </w:t>
      </w:r>
      <w:proofErr w:type="spellStart"/>
      <w:r w:rsidRPr="001A798E">
        <w:rPr>
          <w:rFonts w:ascii="Times New Roman" w:hAnsi="Times New Roman" w:cs="Times New Roman"/>
          <w:sz w:val="24"/>
          <w:szCs w:val="24"/>
        </w:rPr>
        <w:t>Dehayes</w:t>
      </w:r>
      <w:proofErr w:type="spellEnd"/>
      <w:r w:rsidRPr="001A798E">
        <w:rPr>
          <w:rFonts w:ascii="Times New Roman" w:hAnsi="Times New Roman" w:cs="Times New Roman"/>
          <w:sz w:val="24"/>
          <w:szCs w:val="24"/>
        </w:rPr>
        <w:t xml:space="preserve">, D. W., Hoffer, J. A., </w:t>
      </w:r>
      <w:proofErr w:type="spellStart"/>
      <w:r w:rsidRPr="001A798E">
        <w:rPr>
          <w:rFonts w:ascii="Times New Roman" w:hAnsi="Times New Roman" w:cs="Times New Roman"/>
          <w:sz w:val="24"/>
          <w:szCs w:val="24"/>
        </w:rPr>
        <w:t>Wainright</w:t>
      </w:r>
      <w:proofErr w:type="spellEnd"/>
      <w:r w:rsidRPr="001A798E">
        <w:rPr>
          <w:rFonts w:ascii="Times New Roman" w:hAnsi="Times New Roman" w:cs="Times New Roman"/>
          <w:sz w:val="24"/>
          <w:szCs w:val="24"/>
        </w:rPr>
        <w:t xml:space="preserve"> Martin, E., &amp; Perkins, W. C. (2012). The Clarion School for Boys, Inc.—Milwaukee Division: Making information systems investments. In </w:t>
      </w:r>
      <w:proofErr w:type="gramStart"/>
      <w:r w:rsidRPr="001A798E">
        <w:rPr>
          <w:rFonts w:ascii="Times New Roman" w:hAnsi="Times New Roman" w:cs="Times New Roman"/>
          <w:i/>
          <w:iCs/>
          <w:sz w:val="24"/>
          <w:szCs w:val="24"/>
        </w:rPr>
        <w:t>Managing</w:t>
      </w:r>
      <w:proofErr w:type="gramEnd"/>
      <w:r w:rsidRPr="001A798E">
        <w:rPr>
          <w:rFonts w:ascii="Times New Roman" w:hAnsi="Times New Roman" w:cs="Times New Roman"/>
          <w:i/>
          <w:iCs/>
          <w:sz w:val="24"/>
          <w:szCs w:val="24"/>
        </w:rPr>
        <w:t xml:space="preserve"> information systems </w:t>
      </w:r>
      <w:r w:rsidRPr="001A798E">
        <w:rPr>
          <w:rFonts w:ascii="Times New Roman" w:hAnsi="Times New Roman" w:cs="Times New Roman"/>
          <w:iCs/>
          <w:sz w:val="24"/>
          <w:szCs w:val="24"/>
        </w:rPr>
        <w:t>(</w:t>
      </w:r>
      <w:r w:rsidRPr="001A798E">
        <w:rPr>
          <w:rFonts w:ascii="Times New Roman" w:hAnsi="Times New Roman" w:cs="Times New Roman"/>
          <w:sz w:val="24"/>
          <w:szCs w:val="24"/>
        </w:rPr>
        <w:t>7th ed.</w:t>
      </w:r>
      <w:r w:rsidRPr="001A798E">
        <w:rPr>
          <w:rFonts w:ascii="Times New Roman" w:hAnsi="Times New Roman" w:cs="Times New Roman"/>
          <w:iCs/>
          <w:sz w:val="24"/>
          <w:szCs w:val="24"/>
        </w:rPr>
        <w:t xml:space="preserve">, </w:t>
      </w:r>
      <w:r w:rsidRPr="001A798E">
        <w:rPr>
          <w:rFonts w:ascii="Times New Roman" w:hAnsi="Times New Roman" w:cs="Times New Roman"/>
          <w:sz w:val="24"/>
          <w:szCs w:val="24"/>
        </w:rPr>
        <w:t>pp. 594–611</w:t>
      </w:r>
      <w:r w:rsidRPr="001A798E">
        <w:rPr>
          <w:rFonts w:ascii="Times New Roman" w:hAnsi="Times New Roman" w:cs="Times New Roman"/>
          <w:i/>
          <w:iCs/>
          <w:sz w:val="24"/>
          <w:szCs w:val="24"/>
        </w:rPr>
        <w:t>)</w:t>
      </w:r>
      <w:r w:rsidRPr="001A798E">
        <w:rPr>
          <w:rFonts w:ascii="Times New Roman" w:hAnsi="Times New Roman" w:cs="Times New Roman"/>
          <w:sz w:val="24"/>
          <w:szCs w:val="24"/>
        </w:rPr>
        <w:t>, Upper Saddle River, NJ: Prentice Hall.</w:t>
      </w:r>
    </w:p>
    <w:p w:rsidR="001A798E" w:rsidRPr="001A798E" w:rsidRDefault="001A798E" w:rsidP="001A798E">
      <w:pPr>
        <w:spacing w:before="100" w:beforeAutospacing="1" w:after="100" w:afterAutospacing="1" w:line="480" w:lineRule="auto"/>
        <w:ind w:left="720" w:hanging="720"/>
        <w:rPr>
          <w:rFonts w:ascii="Times New Roman" w:hAnsi="Times New Roman" w:cs="Times New Roman"/>
          <w:sz w:val="24"/>
          <w:szCs w:val="24"/>
        </w:rPr>
      </w:pPr>
      <w:r w:rsidRPr="001A798E">
        <w:rPr>
          <w:rFonts w:ascii="Times New Roman" w:hAnsi="Times New Roman" w:cs="Times New Roman"/>
          <w:sz w:val="24"/>
          <w:szCs w:val="24"/>
        </w:rPr>
        <w:t xml:space="preserve">Harvard Business Review. (2016). </w:t>
      </w:r>
      <w:r w:rsidRPr="001A798E">
        <w:rPr>
          <w:rFonts w:ascii="Times New Roman" w:hAnsi="Times New Roman" w:cs="Times New Roman"/>
          <w:i/>
          <w:sz w:val="24"/>
          <w:szCs w:val="24"/>
        </w:rPr>
        <w:t>The CIO's guide to cloud computing</w:t>
      </w:r>
      <w:r w:rsidRPr="001A798E">
        <w:rPr>
          <w:rFonts w:ascii="Times New Roman" w:hAnsi="Times New Roman" w:cs="Times New Roman"/>
          <w:sz w:val="24"/>
          <w:szCs w:val="24"/>
        </w:rPr>
        <w:t xml:space="preserve">. Retrieved from </w:t>
      </w:r>
      <w:hyperlink r:id="rId6" w:history="1">
        <w:r w:rsidRPr="001A798E">
          <w:rPr>
            <w:rStyle w:val="Hyperlink"/>
            <w:rFonts w:ascii="Times New Roman" w:hAnsi="Times New Roman" w:cs="Times New Roman"/>
            <w:sz w:val="24"/>
            <w:szCs w:val="24"/>
          </w:rPr>
          <w:t>https://hbr.org/resources/pdfs/comm/oracle/19790_HBR_Report_Oracle_Cloud.pdf</w:t>
        </w:r>
      </w:hyperlink>
      <w:r w:rsidRPr="001A798E">
        <w:rPr>
          <w:rFonts w:ascii="Times New Roman" w:hAnsi="Times New Roman" w:cs="Times New Roman"/>
          <w:sz w:val="24"/>
          <w:szCs w:val="24"/>
        </w:rPr>
        <w:t xml:space="preserve"> </w:t>
      </w:r>
    </w:p>
    <w:p w:rsidR="001A798E" w:rsidRPr="001A798E" w:rsidRDefault="001A798E" w:rsidP="001A798E">
      <w:pPr>
        <w:spacing w:before="100" w:beforeAutospacing="1" w:after="100" w:afterAutospacing="1" w:line="480" w:lineRule="auto"/>
        <w:ind w:left="720" w:hanging="720"/>
        <w:rPr>
          <w:rFonts w:ascii="Times New Roman" w:hAnsi="Times New Roman" w:cs="Times New Roman"/>
          <w:sz w:val="24"/>
          <w:szCs w:val="24"/>
        </w:rPr>
      </w:pPr>
      <w:proofErr w:type="spellStart"/>
      <w:r w:rsidRPr="001A798E">
        <w:rPr>
          <w:rFonts w:ascii="Times New Roman" w:hAnsi="Times New Roman" w:cs="Times New Roman"/>
          <w:sz w:val="24"/>
          <w:szCs w:val="24"/>
        </w:rPr>
        <w:t>Hertvik</w:t>
      </w:r>
      <w:proofErr w:type="spellEnd"/>
      <w:r w:rsidRPr="001A798E">
        <w:rPr>
          <w:rFonts w:ascii="Times New Roman" w:hAnsi="Times New Roman" w:cs="Times New Roman"/>
          <w:sz w:val="24"/>
          <w:szCs w:val="24"/>
        </w:rPr>
        <w:t xml:space="preserve">, J. (2017). IT cost reduction strategies: 6 ways to reduce ongoing costs. </w:t>
      </w:r>
      <w:r w:rsidRPr="001A798E">
        <w:rPr>
          <w:rFonts w:ascii="Times New Roman" w:hAnsi="Times New Roman" w:cs="Times New Roman"/>
          <w:i/>
          <w:sz w:val="24"/>
          <w:szCs w:val="24"/>
        </w:rPr>
        <w:t>BMC</w:t>
      </w:r>
      <w:r w:rsidRPr="001A798E">
        <w:rPr>
          <w:rFonts w:ascii="Times New Roman" w:hAnsi="Times New Roman" w:cs="Times New Roman"/>
          <w:sz w:val="24"/>
          <w:szCs w:val="24"/>
        </w:rPr>
        <w:t xml:space="preserve">. Retrieved from </w:t>
      </w:r>
      <w:hyperlink r:id="rId7" w:history="1">
        <w:r w:rsidRPr="001A798E">
          <w:rPr>
            <w:rStyle w:val="Hyperlink"/>
            <w:rFonts w:ascii="Times New Roman" w:hAnsi="Times New Roman" w:cs="Times New Roman"/>
            <w:sz w:val="24"/>
            <w:szCs w:val="24"/>
          </w:rPr>
          <w:t>https://www.bmc.com/blogs/6-ways-reduce-ongoing-maintenance-management-costs</w:t>
        </w:r>
      </w:hyperlink>
      <w:r w:rsidRPr="001A798E">
        <w:rPr>
          <w:rFonts w:ascii="Times New Roman" w:hAnsi="Times New Roman" w:cs="Times New Roman"/>
          <w:sz w:val="24"/>
          <w:szCs w:val="24"/>
        </w:rPr>
        <w:t xml:space="preserve">. </w:t>
      </w:r>
    </w:p>
    <w:p w:rsidR="001A798E" w:rsidRPr="001A798E" w:rsidRDefault="001A798E" w:rsidP="001A798E">
      <w:pPr>
        <w:spacing w:before="100" w:beforeAutospacing="1" w:after="100" w:afterAutospacing="1" w:line="480" w:lineRule="auto"/>
        <w:ind w:left="720" w:hanging="720"/>
        <w:rPr>
          <w:rFonts w:ascii="Times New Roman" w:hAnsi="Times New Roman" w:cs="Times New Roman"/>
          <w:sz w:val="24"/>
          <w:szCs w:val="24"/>
        </w:rPr>
      </w:pPr>
      <w:proofErr w:type="spellStart"/>
      <w:r w:rsidRPr="001A798E">
        <w:rPr>
          <w:rFonts w:ascii="Times New Roman" w:hAnsi="Times New Roman" w:cs="Times New Roman"/>
          <w:sz w:val="24"/>
          <w:szCs w:val="24"/>
        </w:rPr>
        <w:t>Khodr</w:t>
      </w:r>
      <w:proofErr w:type="spellEnd"/>
      <w:r w:rsidRPr="001A798E">
        <w:rPr>
          <w:rFonts w:ascii="Times New Roman" w:hAnsi="Times New Roman" w:cs="Times New Roman"/>
          <w:sz w:val="24"/>
          <w:szCs w:val="24"/>
        </w:rPr>
        <w:t>, H. M. (2012). </w:t>
      </w:r>
      <w:r w:rsidRPr="001A798E">
        <w:rPr>
          <w:rFonts w:ascii="Times New Roman" w:hAnsi="Times New Roman" w:cs="Times New Roman"/>
          <w:i/>
          <w:iCs/>
          <w:sz w:val="24"/>
          <w:szCs w:val="24"/>
        </w:rPr>
        <w:t>Scheduling problems and solutions</w:t>
      </w:r>
      <w:r w:rsidRPr="001A798E">
        <w:rPr>
          <w:rFonts w:ascii="Times New Roman" w:hAnsi="Times New Roman" w:cs="Times New Roman"/>
          <w:sz w:val="24"/>
          <w:szCs w:val="24"/>
        </w:rPr>
        <w:t>. New York, NY: Nova Science Publishers, Inc.</w:t>
      </w:r>
    </w:p>
    <w:p w:rsidR="001A798E" w:rsidRPr="001A798E" w:rsidRDefault="001A798E" w:rsidP="001A798E">
      <w:pPr>
        <w:spacing w:before="100" w:beforeAutospacing="1" w:after="100" w:afterAutospacing="1" w:line="480" w:lineRule="auto"/>
        <w:ind w:left="720" w:hanging="720"/>
        <w:rPr>
          <w:rFonts w:ascii="Times New Roman" w:hAnsi="Times New Roman" w:cs="Times New Roman"/>
          <w:sz w:val="24"/>
          <w:szCs w:val="24"/>
        </w:rPr>
      </w:pPr>
      <w:r w:rsidRPr="001A798E">
        <w:rPr>
          <w:rFonts w:ascii="Times New Roman" w:hAnsi="Times New Roman" w:cs="Times New Roman"/>
          <w:sz w:val="24"/>
          <w:szCs w:val="24"/>
        </w:rPr>
        <w:t xml:space="preserve">Marks, E. A., &amp; Lozano, B. (2010). </w:t>
      </w:r>
      <w:r w:rsidRPr="001A798E">
        <w:rPr>
          <w:rFonts w:ascii="Times New Roman" w:hAnsi="Times New Roman" w:cs="Times New Roman"/>
          <w:i/>
          <w:iCs/>
          <w:sz w:val="24"/>
          <w:szCs w:val="24"/>
        </w:rPr>
        <w:t>Executive's guide to cloud computing</w:t>
      </w:r>
      <w:r w:rsidRPr="001A798E">
        <w:rPr>
          <w:rFonts w:ascii="Times New Roman" w:hAnsi="Times New Roman" w:cs="Times New Roman"/>
          <w:sz w:val="24"/>
          <w:szCs w:val="24"/>
        </w:rPr>
        <w:t xml:space="preserve">. Hoboken, NJ: Wiley. </w:t>
      </w:r>
    </w:p>
    <w:p w:rsidR="001A798E" w:rsidRPr="001A798E" w:rsidRDefault="001A798E" w:rsidP="001A798E">
      <w:pPr>
        <w:spacing w:before="100" w:beforeAutospacing="1" w:after="100" w:afterAutospacing="1" w:line="480" w:lineRule="auto"/>
        <w:ind w:left="720" w:hanging="720"/>
        <w:rPr>
          <w:rFonts w:ascii="Times New Roman" w:hAnsi="Times New Roman" w:cs="Times New Roman"/>
          <w:sz w:val="24"/>
          <w:szCs w:val="24"/>
        </w:rPr>
      </w:pPr>
      <w:r w:rsidRPr="001A798E">
        <w:rPr>
          <w:rFonts w:ascii="Times New Roman" w:hAnsi="Times New Roman" w:cs="Times New Roman"/>
          <w:sz w:val="24"/>
          <w:szCs w:val="24"/>
        </w:rPr>
        <w:t>Ran, B. (2013). </w:t>
      </w:r>
      <w:r w:rsidRPr="001A798E">
        <w:rPr>
          <w:rFonts w:ascii="Times New Roman" w:hAnsi="Times New Roman" w:cs="Times New Roman"/>
          <w:i/>
          <w:iCs/>
          <w:sz w:val="24"/>
          <w:szCs w:val="24"/>
        </w:rPr>
        <w:t>The dark side of technological innovation</w:t>
      </w:r>
      <w:r w:rsidRPr="001A798E">
        <w:rPr>
          <w:rFonts w:ascii="Times New Roman" w:hAnsi="Times New Roman" w:cs="Times New Roman"/>
          <w:sz w:val="24"/>
          <w:szCs w:val="24"/>
        </w:rPr>
        <w:t>. Charlotte, NC: Information Age Publishing.</w:t>
      </w:r>
    </w:p>
    <w:p w:rsidR="001A798E" w:rsidRPr="001A798E" w:rsidRDefault="001A798E" w:rsidP="001A798E">
      <w:pPr>
        <w:spacing w:before="100" w:beforeAutospacing="1" w:after="100" w:afterAutospacing="1" w:line="480" w:lineRule="auto"/>
        <w:ind w:left="720" w:hanging="720"/>
        <w:rPr>
          <w:rFonts w:ascii="Times New Roman" w:hAnsi="Times New Roman" w:cs="Times New Roman"/>
          <w:sz w:val="24"/>
          <w:szCs w:val="24"/>
        </w:rPr>
      </w:pPr>
      <w:r w:rsidRPr="001A798E">
        <w:rPr>
          <w:rFonts w:ascii="Times New Roman" w:hAnsi="Times New Roman" w:cs="Times New Roman"/>
          <w:sz w:val="24"/>
          <w:szCs w:val="24"/>
        </w:rPr>
        <w:t xml:space="preserve">Rodriguez, S. (2017). Cloud computing drives massive growth for big U.S. tech firms. </w:t>
      </w:r>
      <w:r w:rsidRPr="001A798E">
        <w:rPr>
          <w:rFonts w:ascii="Times New Roman" w:hAnsi="Times New Roman" w:cs="Times New Roman"/>
          <w:i/>
          <w:sz w:val="24"/>
          <w:szCs w:val="24"/>
        </w:rPr>
        <w:t>Reuters</w:t>
      </w:r>
      <w:r w:rsidRPr="001A798E">
        <w:rPr>
          <w:rFonts w:ascii="Times New Roman" w:hAnsi="Times New Roman" w:cs="Times New Roman"/>
          <w:sz w:val="24"/>
          <w:szCs w:val="24"/>
        </w:rPr>
        <w:t>. Retrieved from https://www.reuters.com/article/us-cloud-results/cloud-computing-drives-massive-growth-for-big-u-s-tech-firms-idUSKBN1CW05H</w:t>
      </w:r>
    </w:p>
    <w:p w:rsidR="001A798E" w:rsidRDefault="001A798E" w:rsidP="001567B1">
      <w:pPr>
        <w:spacing w:before="100" w:beforeAutospacing="1" w:after="100" w:afterAutospacing="1" w:line="480" w:lineRule="auto"/>
        <w:ind w:firstLine="720"/>
        <w:rPr>
          <w:rFonts w:ascii="Times New Roman" w:hAnsi="Times New Roman" w:cs="Times New Roman"/>
          <w:sz w:val="24"/>
          <w:szCs w:val="24"/>
        </w:rPr>
      </w:pPr>
    </w:p>
    <w:p w:rsidR="00402F66" w:rsidRPr="001567B1" w:rsidRDefault="00402F66" w:rsidP="001567B1">
      <w:pPr>
        <w:spacing w:before="100" w:beforeAutospacing="1" w:after="100" w:afterAutospacing="1" w:line="480" w:lineRule="auto"/>
        <w:ind w:firstLine="720"/>
        <w:rPr>
          <w:rFonts w:ascii="Times New Roman" w:hAnsi="Times New Roman" w:cs="Times New Roman"/>
          <w:sz w:val="24"/>
          <w:szCs w:val="24"/>
        </w:rPr>
      </w:pPr>
    </w:p>
    <w:sectPr w:rsidR="00402F66" w:rsidRPr="001567B1" w:rsidSect="005A2C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B92" w:rsidRDefault="00497B92" w:rsidP="005A2C3A">
      <w:pPr>
        <w:spacing w:after="0" w:line="240" w:lineRule="auto"/>
      </w:pPr>
      <w:r>
        <w:separator/>
      </w:r>
    </w:p>
  </w:endnote>
  <w:endnote w:type="continuationSeparator" w:id="0">
    <w:p w:rsidR="00497B92" w:rsidRDefault="00497B92" w:rsidP="005A2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B92" w:rsidRDefault="00497B92" w:rsidP="005A2C3A">
      <w:pPr>
        <w:spacing w:after="0" w:line="240" w:lineRule="auto"/>
      </w:pPr>
      <w:r>
        <w:separator/>
      </w:r>
    </w:p>
  </w:footnote>
  <w:footnote w:type="continuationSeparator" w:id="0">
    <w:p w:rsidR="00497B92" w:rsidRDefault="00497B92" w:rsidP="005A2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C3A" w:rsidRPr="005A2C3A" w:rsidRDefault="005A2C3A">
    <w:pPr>
      <w:pStyle w:val="Header"/>
      <w:jc w:val="right"/>
      <w:rPr>
        <w:rFonts w:ascii="Times New Roman" w:hAnsi="Times New Roman" w:cs="Times New Roman"/>
        <w:sz w:val="24"/>
        <w:szCs w:val="24"/>
      </w:rPr>
    </w:pPr>
    <w:r w:rsidRPr="005A2C3A">
      <w:rPr>
        <w:rFonts w:ascii="Times New Roman" w:hAnsi="Times New Roman" w:cs="Times New Roman"/>
        <w:sz w:val="24"/>
        <w:szCs w:val="24"/>
      </w:rPr>
      <w:t xml:space="preserve">CT11 ECOM </w:t>
    </w:r>
    <w:r w:rsidRPr="005A2C3A">
      <w:rPr>
        <w:rFonts w:ascii="Times New Roman" w:hAnsi="Times New Roman" w:cs="Times New Roman"/>
        <w:sz w:val="24"/>
        <w:szCs w:val="24"/>
      </w:rPr>
      <w:tab/>
    </w:r>
    <w:r w:rsidRPr="005A2C3A">
      <w:rPr>
        <w:rFonts w:ascii="Times New Roman" w:hAnsi="Times New Roman" w:cs="Times New Roman"/>
        <w:sz w:val="24"/>
        <w:szCs w:val="24"/>
      </w:rPr>
      <w:tab/>
    </w:r>
    <w:sdt>
      <w:sdtPr>
        <w:rPr>
          <w:rFonts w:ascii="Times New Roman" w:hAnsi="Times New Roman" w:cs="Times New Roman"/>
          <w:sz w:val="24"/>
          <w:szCs w:val="24"/>
        </w:rPr>
        <w:id w:val="-2067252044"/>
        <w:docPartObj>
          <w:docPartGallery w:val="Page Numbers (Top of Page)"/>
          <w:docPartUnique/>
        </w:docPartObj>
      </w:sdtPr>
      <w:sdtEndPr>
        <w:rPr>
          <w:noProof/>
        </w:rPr>
      </w:sdtEndPr>
      <w:sdtContent>
        <w:r w:rsidRPr="005A2C3A">
          <w:rPr>
            <w:rFonts w:ascii="Times New Roman" w:hAnsi="Times New Roman" w:cs="Times New Roman"/>
            <w:sz w:val="24"/>
            <w:szCs w:val="24"/>
          </w:rPr>
          <w:fldChar w:fldCharType="begin"/>
        </w:r>
        <w:r w:rsidRPr="005A2C3A">
          <w:rPr>
            <w:rFonts w:ascii="Times New Roman" w:hAnsi="Times New Roman" w:cs="Times New Roman"/>
            <w:sz w:val="24"/>
            <w:szCs w:val="24"/>
          </w:rPr>
          <w:instrText xml:space="preserve"> PAGE   \* MERGEFORMAT </w:instrText>
        </w:r>
        <w:r w:rsidRPr="005A2C3A">
          <w:rPr>
            <w:rFonts w:ascii="Times New Roman" w:hAnsi="Times New Roman" w:cs="Times New Roman"/>
            <w:sz w:val="24"/>
            <w:szCs w:val="24"/>
          </w:rPr>
          <w:fldChar w:fldCharType="separate"/>
        </w:r>
        <w:r w:rsidR="00826D61">
          <w:rPr>
            <w:rFonts w:ascii="Times New Roman" w:hAnsi="Times New Roman" w:cs="Times New Roman"/>
            <w:noProof/>
            <w:sz w:val="24"/>
            <w:szCs w:val="24"/>
          </w:rPr>
          <w:t>2</w:t>
        </w:r>
        <w:r w:rsidRPr="005A2C3A">
          <w:rPr>
            <w:rFonts w:ascii="Times New Roman" w:hAnsi="Times New Roman" w:cs="Times New Roman"/>
            <w:noProof/>
            <w:sz w:val="24"/>
            <w:szCs w:val="24"/>
          </w:rPr>
          <w:fldChar w:fldCharType="end"/>
        </w:r>
      </w:sdtContent>
    </w:sdt>
  </w:p>
  <w:p w:rsidR="005A2C3A" w:rsidRDefault="005A2C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C3A" w:rsidRPr="005A2C3A" w:rsidRDefault="005A2C3A">
    <w:pPr>
      <w:pStyle w:val="Header"/>
      <w:jc w:val="right"/>
      <w:rPr>
        <w:rFonts w:ascii="Times New Roman" w:hAnsi="Times New Roman" w:cs="Times New Roman"/>
        <w:sz w:val="24"/>
        <w:szCs w:val="24"/>
      </w:rPr>
    </w:pPr>
    <w:r w:rsidRPr="005A2C3A">
      <w:rPr>
        <w:rFonts w:ascii="Times New Roman" w:hAnsi="Times New Roman" w:cs="Times New Roman"/>
        <w:sz w:val="24"/>
        <w:szCs w:val="24"/>
      </w:rPr>
      <w:t xml:space="preserve">Running head: CT11 ECOM </w:t>
    </w:r>
    <w:r w:rsidRPr="005A2C3A">
      <w:rPr>
        <w:rFonts w:ascii="Times New Roman" w:hAnsi="Times New Roman" w:cs="Times New Roman"/>
        <w:sz w:val="24"/>
        <w:szCs w:val="24"/>
      </w:rPr>
      <w:tab/>
    </w:r>
    <w:r w:rsidRPr="005A2C3A">
      <w:rPr>
        <w:rFonts w:ascii="Times New Roman" w:hAnsi="Times New Roman" w:cs="Times New Roman"/>
        <w:sz w:val="24"/>
        <w:szCs w:val="24"/>
      </w:rPr>
      <w:tab/>
    </w:r>
    <w:sdt>
      <w:sdtPr>
        <w:rPr>
          <w:rFonts w:ascii="Times New Roman" w:hAnsi="Times New Roman" w:cs="Times New Roman"/>
          <w:sz w:val="24"/>
          <w:szCs w:val="24"/>
        </w:rPr>
        <w:id w:val="1361473644"/>
        <w:docPartObj>
          <w:docPartGallery w:val="Page Numbers (Top of Page)"/>
          <w:docPartUnique/>
        </w:docPartObj>
      </w:sdtPr>
      <w:sdtEndPr>
        <w:rPr>
          <w:noProof/>
        </w:rPr>
      </w:sdtEndPr>
      <w:sdtContent>
        <w:r w:rsidRPr="005A2C3A">
          <w:rPr>
            <w:rFonts w:ascii="Times New Roman" w:hAnsi="Times New Roman" w:cs="Times New Roman"/>
            <w:sz w:val="24"/>
            <w:szCs w:val="24"/>
          </w:rPr>
          <w:fldChar w:fldCharType="begin"/>
        </w:r>
        <w:r w:rsidRPr="005A2C3A">
          <w:rPr>
            <w:rFonts w:ascii="Times New Roman" w:hAnsi="Times New Roman" w:cs="Times New Roman"/>
            <w:sz w:val="24"/>
            <w:szCs w:val="24"/>
          </w:rPr>
          <w:instrText xml:space="preserve"> PAGE   \* MERGEFORMAT </w:instrText>
        </w:r>
        <w:r w:rsidRPr="005A2C3A">
          <w:rPr>
            <w:rFonts w:ascii="Times New Roman" w:hAnsi="Times New Roman" w:cs="Times New Roman"/>
            <w:sz w:val="24"/>
            <w:szCs w:val="24"/>
          </w:rPr>
          <w:fldChar w:fldCharType="separate"/>
        </w:r>
        <w:r w:rsidR="00826D61">
          <w:rPr>
            <w:rFonts w:ascii="Times New Roman" w:hAnsi="Times New Roman" w:cs="Times New Roman"/>
            <w:noProof/>
            <w:sz w:val="24"/>
            <w:szCs w:val="24"/>
          </w:rPr>
          <w:t>1</w:t>
        </w:r>
        <w:r w:rsidRPr="005A2C3A">
          <w:rPr>
            <w:rFonts w:ascii="Times New Roman" w:hAnsi="Times New Roman" w:cs="Times New Roman"/>
            <w:noProof/>
            <w:sz w:val="24"/>
            <w:szCs w:val="24"/>
          </w:rPr>
          <w:fldChar w:fldCharType="end"/>
        </w:r>
      </w:sdtContent>
    </w:sdt>
  </w:p>
  <w:p w:rsidR="005A2C3A" w:rsidRDefault="005A2C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834"/>
    <w:rsid w:val="000018D8"/>
    <w:rsid w:val="00007DE1"/>
    <w:rsid w:val="00022E66"/>
    <w:rsid w:val="00033DF7"/>
    <w:rsid w:val="000612AB"/>
    <w:rsid w:val="00063B50"/>
    <w:rsid w:val="000C30EF"/>
    <w:rsid w:val="00155D40"/>
    <w:rsid w:val="001567B1"/>
    <w:rsid w:val="0018726B"/>
    <w:rsid w:val="001A798E"/>
    <w:rsid w:val="001B290D"/>
    <w:rsid w:val="001C01A4"/>
    <w:rsid w:val="001D65AE"/>
    <w:rsid w:val="001D78F7"/>
    <w:rsid w:val="00247800"/>
    <w:rsid w:val="002B28DF"/>
    <w:rsid w:val="00342AED"/>
    <w:rsid w:val="003E7E12"/>
    <w:rsid w:val="00402F66"/>
    <w:rsid w:val="00497659"/>
    <w:rsid w:val="00497B92"/>
    <w:rsid w:val="004B6BD9"/>
    <w:rsid w:val="004C336C"/>
    <w:rsid w:val="004E42D0"/>
    <w:rsid w:val="00502346"/>
    <w:rsid w:val="005A2C3A"/>
    <w:rsid w:val="005B2BD2"/>
    <w:rsid w:val="00721E32"/>
    <w:rsid w:val="00826D61"/>
    <w:rsid w:val="00864834"/>
    <w:rsid w:val="0086545C"/>
    <w:rsid w:val="00883252"/>
    <w:rsid w:val="008A536B"/>
    <w:rsid w:val="00945C6B"/>
    <w:rsid w:val="00975161"/>
    <w:rsid w:val="009C70B3"/>
    <w:rsid w:val="009D48CE"/>
    <w:rsid w:val="00B152B3"/>
    <w:rsid w:val="00B56A94"/>
    <w:rsid w:val="00C05FD7"/>
    <w:rsid w:val="00CD1000"/>
    <w:rsid w:val="00CE7C87"/>
    <w:rsid w:val="00D07EA3"/>
    <w:rsid w:val="00D21139"/>
    <w:rsid w:val="00D61DC0"/>
    <w:rsid w:val="00D90D49"/>
    <w:rsid w:val="00DD5E3D"/>
    <w:rsid w:val="00EF3A1D"/>
    <w:rsid w:val="00FB0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61D872-B143-4A49-B087-391FAD44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798E"/>
    <w:rPr>
      <w:color w:val="0000FF" w:themeColor="hyperlink"/>
      <w:u w:val="single"/>
    </w:rPr>
  </w:style>
  <w:style w:type="paragraph" w:styleId="Header">
    <w:name w:val="header"/>
    <w:basedOn w:val="Normal"/>
    <w:link w:val="HeaderChar"/>
    <w:uiPriority w:val="99"/>
    <w:unhideWhenUsed/>
    <w:rsid w:val="005A2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C3A"/>
  </w:style>
  <w:style w:type="paragraph" w:styleId="Footer">
    <w:name w:val="footer"/>
    <w:basedOn w:val="Normal"/>
    <w:link w:val="FooterChar"/>
    <w:uiPriority w:val="99"/>
    <w:unhideWhenUsed/>
    <w:rsid w:val="005A2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mc.com/blogs/6-ways-reduce-ongoing-maintenance-management-cos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resources/pdfs/comm/oracle/19790_HBR_Report_Oracle_Cloud.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2018-04-11T18:05:00Z</dcterms:created>
  <dcterms:modified xsi:type="dcterms:W3CDTF">2018-04-11T18:05:00Z</dcterms:modified>
</cp:coreProperties>
</file>